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6b6b6b"/>
          <w:sz w:val="20"/>
          <w:szCs w:val="20"/>
        </w:rPr>
        <w:t xml:space="preserve">COOPERANTE d.o.o.  |  Put Firula 53, 21000 Split  |  OIB: 00211643371</w:t>
      </w:r>
    </w:p>
    <w:p>
      <w:pPr>
        <w:spacing w:before="0" w:after="10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b/>
          <w:bCs/>
          <w:color w:val="cc1414"/>
          <w:sz w:val="18"/>
          <w:szCs w:val="18"/>
        </w:rPr>
        <w:t xml:space="preserve">COO-REG-007-K v1.0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a0a0a"/>
          <w:sz w:val="34"/>
          <w:szCs w:val="34"/>
        </w:rPr>
        <w:t xml:space="preserve">Registar izvršitelja obrade s DPA statusom</w:t>
      </w:r>
    </w:p>
    <w:p>
      <w:pPr>
        <w:spacing w:before="0" w:after="10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Verzija: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1.0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Datum: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15. 03. 2026.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Vlasnik dokumenta: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DPC – Rea Pelicarić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Klasifikacija: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Povjerljivo – interno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Status: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Na snazi</w:t>
      </w:r>
    </w:p>
    <w:p>
      <w:pPr>
        <w:pBdr>
          <w:bottom w:val="single" w:color="e0e0e0" w:sz="4" w:space="1"/>
        </w:pBdr>
        <w:spacing w:before="160" w:after="16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Sukladno čl. 28. i 30. GDPR-a, Cooperante d.o.o. vodi evidenciju svih izvršitelja obrade kojima se povjerava obrada osobnih podataka. Registar se ažurira pri svakoj promjeni te revizijom najmanje jednom godišnje.</w:t>
      </w:r>
    </w:p>
    <w:p>
      <w:pPr>
        <w:spacing w:before="0" w:after="100"/>
      </w:pPr>
      <w:r>
        <w:t xml:space="preserve"/>
      </w:r>
    </w:p>
    <w:p>
      <w:pPr>
        <w:pStyle w:val="Heading1"/>
        <w:spacing w:before="440" w:after="120"/>
      </w:pPr>
      <w:r>
        <w:rPr>
          <w:rFonts w:ascii="Arial" w:cs="Arial" w:eastAsia="Arial" w:hAnsi="Arial"/>
          <w:b/>
          <w:bCs/>
          <w:color w:val="0a0a0a"/>
          <w:sz w:val="32"/>
          <w:szCs w:val="32"/>
        </w:rPr>
        <w:t xml:space="preserve">A. Cloud i IT infrastruktura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1000"/>
        <w:gridCol w:w="1400"/>
        <w:gridCol w:w="2200"/>
        <w:gridCol w:w="1760"/>
      </w:tblGrid>
      <w:tr>
        <w:trPr>
          <w:tblHeader/>
        </w:trPr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Naziv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Usluga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Lokacija</w:t>
            </w:r>
          </w:p>
        </w:tc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Prijenos izvan EU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DPA mehanizam</w:t>
            </w:r>
          </w:p>
        </w:tc>
        <w:tc>
          <w:tcPr>
            <w:tcW w:type="dxa" w:w="17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Microsoft Ireland Operations Ltd.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Microsoft 365 – Exchange, SharePoint, OneDrive, Teams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EU (IRL/NLD)</w:t>
            </w:r>
          </w:p>
        </w:tc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DA – SAD za neke usluge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Microsoft Online Services DPA + SCC</w:t>
            </w:r>
          </w:p>
        </w:tc>
        <w:tc>
          <w:tcPr>
            <w:tcW w:type="dxa" w:w="17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Aktivan</w:t>
            </w:r>
          </w:p>
        </w:tc>
      </w:tr>
      <w:tr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Pružatelj ATS platforme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Sustav za upravljanje kandidatima – IDENTIFICIRATI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—</w:t>
            </w:r>
          </w:p>
        </w:tc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DPA ugovor – SKLOPITI</w:t>
            </w:r>
          </w:p>
        </w:tc>
        <w:tc>
          <w:tcPr>
            <w:tcW w:type="dxa" w:w="17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PENDING – HITNO</w:t>
            </w:r>
          </w:p>
        </w:tc>
      </w:tr>
      <w:tr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Vanjski IT administrator M365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Administracija M365 tenanta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RH</w:t>
            </w:r>
          </w:p>
        </w:tc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NE</w:t>
            </w:r>
          </w:p>
        </w:tc>
        <w:tc>
          <w:tcPr>
            <w:tcW w:type="dxa" w:w="2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DPA ugovor – SKLOPITI</w:t>
            </w:r>
          </w:p>
        </w:tc>
        <w:tc>
          <w:tcPr>
            <w:tcW w:type="dxa" w:w="17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PENDING – HITNO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pStyle w:val="Heading1"/>
        <w:spacing w:before="440" w:after="120"/>
      </w:pPr>
      <w:r>
        <w:rPr>
          <w:rFonts w:ascii="Arial" w:cs="Arial" w:eastAsia="Arial" w:hAnsi="Arial"/>
          <w:b/>
          <w:bCs/>
          <w:color w:val="0a0a0a"/>
          <w:sz w:val="32"/>
          <w:szCs w:val="32"/>
        </w:rPr>
        <w:t xml:space="preserve">B. Marketing i web analitika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000"/>
        <w:gridCol w:w="2000"/>
        <w:gridCol w:w="2000"/>
        <w:gridCol w:w="1560"/>
      </w:tblGrid>
      <w:tr>
        <w:trPr>
          <w:tblHeader/>
        </w:trP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Naziv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Usluga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Lokacija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Pravni mehanizam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Uvjet aktivacije</w:t>
            </w:r>
          </w:p>
        </w:tc>
        <w:tc>
          <w:tcPr>
            <w:tcW w:type="dxa" w:w="1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Google LLC (Analytics 4)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Web analitika, praćenje posjeta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SAD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SCC (Google Ads DPA)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Privola korisnika (cookie banner)</w:t>
            </w:r>
          </w:p>
        </w:tc>
        <w:tc>
          <w:tcPr>
            <w:tcW w:type="dxa" w:w="1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Aktivan – SCC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Meta Platforms Ireland Ltd.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Meta Pixel, Facebook oglasi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SAD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SCC (Meta DPA)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Privola korisnika (cookie banner)</w:t>
            </w:r>
          </w:p>
        </w:tc>
        <w:tc>
          <w:tcPr>
            <w:tcW w:type="dxa" w:w="1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Aktivan – SCC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LinkedIn Ireland Unlimited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LinkedIn Insight Tag, oglasi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SAD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SCC (LinkedIn DPA)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Privola korisnika (cookie banner)</w:t>
            </w:r>
          </w:p>
        </w:tc>
        <w:tc>
          <w:tcPr>
            <w:tcW w:type="dxa" w:w="1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Aktivan – SCC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Microsoft (Clarity)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Web analitika, snimanje sesija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SAD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SCC (M365 DPA)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Privola korisnika (cookie banner)</w:t>
            </w:r>
          </w:p>
        </w:tc>
        <w:tc>
          <w:tcPr>
            <w:tcW w:type="dxa" w:w="1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Aktivan – SCC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pStyle w:val="Heading1"/>
        <w:spacing w:before="440" w:after="120"/>
      </w:pPr>
      <w:r>
        <w:rPr>
          <w:rFonts w:ascii="Arial" w:cs="Arial" w:eastAsia="Arial" w:hAnsi="Arial"/>
          <w:b/>
          <w:bCs/>
          <w:color w:val="0a0a0a"/>
          <w:sz w:val="32"/>
          <w:szCs w:val="32"/>
        </w:rPr>
        <w:t xml:space="preserve">C. Poslovni procesi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1200"/>
        <w:gridCol w:w="3160"/>
      </w:tblGrid>
      <w:tr>
        <w:trPr>
          <w:tblHeader/>
        </w:trP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Naziv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Usluga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Lokacija</w:t>
            </w:r>
          </w:p>
        </w:tc>
        <w:tc>
          <w:tcPr>
            <w:tcW w:type="dxa" w:w="3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DPA status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Vanjski računovođa (identificirati)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Obračun plaća, kadrovska administracija, porezne prijave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RH</w:t>
            </w:r>
          </w:p>
        </w:tc>
        <w:tc>
          <w:tcPr>
            <w:tcW w:type="dxa" w:w="3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DPA ugovor – SKLOPITI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Odvjetnički ured / pravni savjetnik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Pravni savjeti vezani uz radne dozvole i ugovore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RH</w:t>
            </w:r>
          </w:p>
        </w:tc>
        <w:tc>
          <w:tcPr>
            <w:tcW w:type="dxa" w:w="3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Ugovor o čuvanju tajne – provjeriti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Prevodioci / prevodilačke agencije</w:t>
            </w:r>
          </w:p>
        </w:tc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Prijevod dokumentacije stranih radnika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RH / inozemstvo</w:t>
            </w:r>
          </w:p>
        </w:tc>
        <w:tc>
          <w:tcPr>
            <w:tcW w:type="dxa" w:w="31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DPA ili SCC – prema lokaciji – provjeriti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pStyle w:val="Heading1"/>
        <w:spacing w:before="440" w:after="120"/>
      </w:pPr>
      <w:r>
        <w:rPr>
          <w:rFonts w:ascii="Arial" w:cs="Arial" w:eastAsia="Arial" w:hAnsi="Arial"/>
          <w:b/>
          <w:bCs/>
          <w:color w:val="0a0a0a"/>
          <w:sz w:val="32"/>
          <w:szCs w:val="32"/>
        </w:rPr>
        <w:t xml:space="preserve">D. Partnerske agencije u trećim zemljama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200"/>
        <w:gridCol w:w="2800"/>
        <w:gridCol w:w="3360"/>
      </w:tblGrid>
      <w:tr>
        <w:trPr>
          <w:tblHeader/>
        </w:trP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Agencija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Zemlja</w:t>
            </w:r>
          </w:p>
        </w:tc>
        <w:tc>
          <w:tcPr>
            <w:tcW w:type="dxa" w:w="2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Uloga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 SCC ugovora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Partnerska agencija – Filipini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Filipini</w:t>
            </w:r>
          </w:p>
        </w:tc>
        <w:tc>
          <w:tcPr>
            <w:tcW w:type="dxa" w:w="2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Inicijalna selekcija kandidata, dostava dokumentacije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KRITIČNO PENDING – sklopiti odmah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Partnerska agencija – BiH i Srbija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BiH / Srbija</w:t>
            </w:r>
          </w:p>
        </w:tc>
        <w:tc>
          <w:tcPr>
            <w:tcW w:type="dxa" w:w="2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Inicijalna selekcija kandidata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Pending – sklopiti SCC ili čl. 49. iznimka</w:t>
            </w:r>
          </w:p>
        </w:tc>
      </w:tr>
      <w:tr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Ostale partnerske agencije</w:t>
            </w:r>
          </w:p>
        </w:tc>
        <w:tc>
          <w:tcPr>
            <w:tcW w:type="dxa" w:w="12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Razne treće zemlje</w:t>
            </w:r>
          </w:p>
        </w:tc>
        <w:tc>
          <w:tcPr>
            <w:tcW w:type="dxa" w:w="2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Selekcija i administracija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Mapirati i sklopiti SCC za svaku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pStyle w:val="Heading1"/>
        <w:spacing w:before="440" w:after="120"/>
      </w:pPr>
      <w:r>
        <w:rPr>
          <w:rFonts w:ascii="Arial" w:cs="Arial" w:eastAsia="Arial" w:hAnsi="Arial"/>
          <w:b/>
          <w:bCs/>
          <w:color w:val="0a0a0a"/>
          <w:sz w:val="32"/>
          <w:szCs w:val="32"/>
        </w:rPr>
        <w:t xml:space="preserve">Prioritetne akcije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2000"/>
        <w:gridCol w:w="1460"/>
      </w:tblGrid>
      <w:tr>
        <w:trPr>
          <w:tblHeader/>
        </w:trP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Prioritet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Akcija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Odgovoran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0a0a0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Rok</w:t>
            </w:r>
          </w:p>
        </w:tc>
      </w:tr>
      <w:t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KRITIČNO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Identificirati pružatelja ATS platforme i sklopiti DPA ugovor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Uprava + DPC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14 dana</w:t>
            </w:r>
          </w:p>
        </w:tc>
      </w:tr>
      <w:t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KRITIČNO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Sklopiti DPA s vanjskim IT administratorom M365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Uprava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14 dana</w:t>
            </w:r>
          </w:p>
        </w:tc>
      </w:tr>
      <w:t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KRITIČNO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Sklopiti SCC ugovor s partnerskim agencijama na Filipinima i u BiH/Srbiji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Uprava + DPC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30 dana</w:t>
            </w:r>
          </w:p>
        </w:tc>
      </w:tr>
      <w:t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VISOKO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Sklopiti DPA s vanjskim računovođom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Uprava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30 dana</w:t>
            </w:r>
          </w:p>
        </w:tc>
      </w:tr>
      <w:t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VISOKO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Provjeriti DPA status odvjetničkog ureda i prevodilačkih agencija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DPC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30 dana</w:t>
            </w:r>
          </w:p>
        </w:tc>
      </w:tr>
      <w:tr>
        <w:tc>
          <w:tcPr>
            <w:tcW w:type="dxa" w:w="14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REDOVITO</w:t>
            </w:r>
          </w:p>
        </w:tc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Godišnja revizija svih DPA ugovora i ažuriranje registra</w:t>
            </w:r>
          </w:p>
        </w:tc>
        <w:tc>
          <w:tcPr>
            <w:tcW w:type="dxa" w:w="2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DPC</w:t>
            </w:r>
          </w:p>
        </w:tc>
        <w:tc>
          <w:tcPr>
            <w:tcW w:type="dxa" w:w="14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Godišnje</w:t>
            </w:r>
          </w:p>
        </w:tc>
      </w:tr>
    </w:tbl>
    <w:p>
      <w:pPr>
        <w:pBdr>
          <w:bottom w:val="single" w:color="e0e0e0" w:sz="4" w:space="1"/>
        </w:pBdr>
        <w:spacing w:before="160" w:after="160"/>
      </w:pPr>
      <w:r>
        <w:t xml:space="preserve"/>
      </w:r>
    </w:p>
    <w:p>
      <w:pPr>
        <w:spacing w:before="0" w:after="100"/>
      </w:pPr>
      <w: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6b6b6b"/>
          <w:sz w:val="20"/>
          <w:szCs w:val="20"/>
        </w:rPr>
        <w:t xml:space="preserve">Napomena: Za Google Analytics, Meta Pixel i LinkedIn – DPA ugovor ugrađen je u opće uvjete korištenja tih platformi. Potrebno je osigurati da je cookie consent banner pravilno implementiran i da se tracking pikseli aktiviraju ISKLJUČIVO uz privolu korisnika.</w:t>
      </w:r>
    </w:p>
    <w:p>
      <w:pPr>
        <w:spacing w:before="0" w:after="100"/>
      </w:pPr>
      <w:r>
        <w:t xml:space="preserve"/>
      </w:r>
    </w:p>
    <w:p>
      <w:pPr>
        <w:spacing w:before="10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Vlasnik dokumenta (DPC):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Rea Pelicarić   Datum: __________   Potpis: _____________________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color w:val="0a0a0a"/>
          <w:sz w:val="22"/>
          <w:szCs w:val="22"/>
        </w:rPr>
        <w:t xml:space="preserve">Direktorica: 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Sonja Mitrović   Datum: __________   Potpis: _____________________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40" w:after="160"/>
      <w:outlineLvl w:val="0"/>
    </w:pPr>
    <w:rPr>
      <w:rFonts w:ascii="Arial" w:cs="Arial" w:eastAsia="Arial" w:hAnsi="Arial"/>
      <w:b/>
      <w:bCs/>
      <w:color w:val="0a0a0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a0a0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6b6b6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2026-03-15T19:11:10.009Z</dcterms:created>
  <dcterms:modified xsi:type="dcterms:W3CDTF">2026-03-15T19:11:10.009Z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