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B9DA" w14:textId="77777777" w:rsidR="00F57D4A" w:rsidRPr="00183364" w:rsidRDefault="00000000">
      <w:pPr>
        <w:spacing w:before="80" w:after="8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CC1414"/>
          <w:sz w:val="18"/>
          <w:szCs w:val="18"/>
        </w:rPr>
        <w:t>COO-DPIA-001 v1.0</w:t>
      </w:r>
    </w:p>
    <w:p w14:paraId="03B5C8A9" w14:textId="77777777" w:rsidR="00183364" w:rsidRDefault="00183364" w:rsidP="00183364">
      <w:pPr>
        <w:spacing w:before="80" w:after="80"/>
        <w:jc w:val="center"/>
        <w:rPr>
          <w:rFonts w:ascii="Candara" w:hAnsi="Candara"/>
        </w:rPr>
      </w:pPr>
    </w:p>
    <w:p w14:paraId="5ACF0AD2" w14:textId="77777777" w:rsidR="00183364" w:rsidRDefault="00183364" w:rsidP="00183364">
      <w:pPr>
        <w:spacing w:before="80" w:after="80"/>
        <w:jc w:val="center"/>
        <w:rPr>
          <w:rFonts w:ascii="Candara" w:hAnsi="Candara"/>
        </w:rPr>
      </w:pPr>
    </w:p>
    <w:p w14:paraId="262D245C" w14:textId="19728E6F" w:rsidR="00183364" w:rsidRDefault="00183364" w:rsidP="00183364">
      <w:pPr>
        <w:spacing w:before="80" w:after="80"/>
        <w:jc w:val="center"/>
        <w:rPr>
          <w:rFonts w:ascii="Candara" w:hAnsi="Candara"/>
          <w:b/>
          <w:bCs/>
          <w:color w:val="0A0A0A"/>
          <w:sz w:val="34"/>
          <w:szCs w:val="34"/>
        </w:rPr>
      </w:pPr>
      <w:r w:rsidRPr="00183364">
        <w:rPr>
          <w:rFonts w:ascii="Candara" w:hAnsi="Candara"/>
          <w:b/>
          <w:bCs/>
          <w:color w:val="0A0A0A"/>
          <w:sz w:val="34"/>
          <w:szCs w:val="34"/>
        </w:rPr>
        <w:t>DPIA – PROCJENA UČINKA NA ZAŠTITU PODATAKA</w:t>
      </w:r>
    </w:p>
    <w:p w14:paraId="315898D8" w14:textId="1E866DC0" w:rsidR="00F57D4A" w:rsidRPr="00183364" w:rsidRDefault="00183364" w:rsidP="00183364">
      <w:pPr>
        <w:spacing w:before="80" w:after="80"/>
        <w:jc w:val="center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  <w:sz w:val="34"/>
          <w:szCs w:val="34"/>
        </w:rPr>
        <w:t>ATS SUSTAV</w:t>
      </w:r>
    </w:p>
    <w:p w14:paraId="2EEC563C" w14:textId="77777777" w:rsidR="00F57D4A" w:rsidRPr="00183364" w:rsidRDefault="00F57D4A">
      <w:pPr>
        <w:spacing w:after="100"/>
        <w:rPr>
          <w:rFonts w:ascii="Candara" w:hAnsi="Candara"/>
        </w:rPr>
      </w:pPr>
    </w:p>
    <w:p w14:paraId="3BB50561" w14:textId="77777777" w:rsidR="00F57D4A" w:rsidRPr="00183364" w:rsidRDefault="00000000">
      <w:pPr>
        <w:spacing w:before="60" w:after="6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Verzija: </w:t>
      </w:r>
      <w:r w:rsidRPr="00183364">
        <w:rPr>
          <w:rFonts w:ascii="Candara" w:hAnsi="Candara"/>
          <w:color w:val="1A1A1A"/>
        </w:rPr>
        <w:t>1.0</w:t>
      </w:r>
    </w:p>
    <w:p w14:paraId="2A9C1BF4" w14:textId="77777777" w:rsidR="00F57D4A" w:rsidRPr="00183364" w:rsidRDefault="00000000">
      <w:pPr>
        <w:spacing w:before="60" w:after="6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Datum: </w:t>
      </w:r>
      <w:r w:rsidRPr="00183364">
        <w:rPr>
          <w:rFonts w:ascii="Candara" w:hAnsi="Candara"/>
          <w:color w:val="1A1A1A"/>
        </w:rPr>
        <w:t>15. 03. 2026.</w:t>
      </w:r>
    </w:p>
    <w:p w14:paraId="41E91E95" w14:textId="77777777" w:rsidR="00F57D4A" w:rsidRPr="00183364" w:rsidRDefault="00000000">
      <w:pPr>
        <w:spacing w:before="60" w:after="6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Vlasnik dokumenta: </w:t>
      </w:r>
      <w:r w:rsidRPr="00183364">
        <w:rPr>
          <w:rFonts w:ascii="Candara" w:hAnsi="Candara"/>
          <w:color w:val="1A1A1A"/>
        </w:rPr>
        <w:t>DPC – Rea Pelicarić</w:t>
      </w:r>
    </w:p>
    <w:p w14:paraId="274703C9" w14:textId="77777777" w:rsidR="00F57D4A" w:rsidRPr="00183364" w:rsidRDefault="00000000">
      <w:pPr>
        <w:spacing w:before="60" w:after="6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Klasifikacija: </w:t>
      </w:r>
      <w:r w:rsidRPr="00183364">
        <w:rPr>
          <w:rFonts w:ascii="Candara" w:hAnsi="Candara"/>
          <w:color w:val="1A1A1A"/>
        </w:rPr>
        <w:t>Strogo povjerljivo</w:t>
      </w:r>
    </w:p>
    <w:p w14:paraId="6A68FEB3" w14:textId="77777777" w:rsidR="00F57D4A" w:rsidRPr="00183364" w:rsidRDefault="00000000">
      <w:pPr>
        <w:spacing w:before="60" w:after="60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Status: </w:t>
      </w:r>
      <w:r w:rsidRPr="00183364">
        <w:rPr>
          <w:rFonts w:ascii="Candara" w:hAnsi="Candara"/>
          <w:color w:val="1A1A1A"/>
        </w:rPr>
        <w:t>Na snazi</w:t>
      </w:r>
    </w:p>
    <w:p w14:paraId="6F2EB3A5" w14:textId="77777777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t>1. Uvod i svrha</w:t>
      </w:r>
    </w:p>
    <w:p w14:paraId="6DAEAC76" w14:textId="77777777" w:rsidR="00F57D4A" w:rsidRPr="00183364" w:rsidRDefault="00000000" w:rsidP="00183364">
      <w:pPr>
        <w:spacing w:before="80" w:after="8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Ova Procjena učinka na zaštitu podataka (DPIA) provedena je sukladno čl. 35. GDPR-a za ATS (Applicant Tracking System) – sustav za upravljanje kandidatima koji Cooperante d.o.o. koristi u okviru djelatnosti posredovanja pri zapošljavanju i ustupanja radnika.</w:t>
      </w:r>
    </w:p>
    <w:p w14:paraId="68563A0C" w14:textId="0A57052E" w:rsidR="00F57D4A" w:rsidRPr="00183364" w:rsidRDefault="00000000" w:rsidP="00183364">
      <w:pPr>
        <w:spacing w:before="80" w:after="8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DPIA je obvezna jer obrada uključuje: sustavnu obradu osobnih podataka u velikim razmjerima, profiliranje kandidata te obradu osjetljivih identifikacijskih podataka (putovnice, OIB, fotografije, državljanstvo stranih radnika).</w:t>
      </w:r>
    </w:p>
    <w:p w14:paraId="4EFDBB1F" w14:textId="77777777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t>2. Opis obrade</w:t>
      </w:r>
    </w:p>
    <w:p w14:paraId="77006927" w14:textId="77777777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Svrha obrade: </w:t>
      </w:r>
      <w:r w:rsidRPr="00183364">
        <w:rPr>
          <w:rFonts w:ascii="Candara" w:hAnsi="Candara"/>
          <w:color w:val="1A1A1A"/>
        </w:rPr>
        <w:t>Prikupljanje, pohrana i obrada kandidatskih profila za posredovanje pri zapošljavanju i ustupanje radnika klijentima</w:t>
      </w:r>
    </w:p>
    <w:p w14:paraId="65CEF5A7" w14:textId="77777777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Kategorije ispitanika: </w:t>
      </w:r>
      <w:r w:rsidRPr="00183364">
        <w:rPr>
          <w:rFonts w:ascii="Candara" w:hAnsi="Candara"/>
          <w:color w:val="1A1A1A"/>
        </w:rPr>
        <w:t>Kandidati za zapošljavanje – pretežno strani radnici iz trećih zemalja</w:t>
      </w:r>
    </w:p>
    <w:p w14:paraId="4FB2E481" w14:textId="77777777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Opseg podataka: </w:t>
      </w:r>
      <w:r w:rsidRPr="00183364">
        <w:rPr>
          <w:rFonts w:ascii="Candara" w:hAnsi="Candara"/>
          <w:color w:val="1A1A1A"/>
        </w:rPr>
        <w:t>Identifikacijski podaci, kontakti, CV, fotografija, državljanstvo, broj putovnice, dokumenti za radne dozvole</w:t>
      </w:r>
    </w:p>
    <w:p w14:paraId="1CF504BA" w14:textId="77777777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Broj ispitanika: </w:t>
      </w:r>
      <w:r w:rsidRPr="00183364">
        <w:rPr>
          <w:rFonts w:ascii="Candara" w:hAnsi="Candara"/>
          <w:color w:val="1A1A1A"/>
        </w:rPr>
        <w:t>Procjena: &gt;500 aktivnih profila (kontinuirano raste)</w:t>
      </w:r>
    </w:p>
    <w:p w14:paraId="7EC32191" w14:textId="77777777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Voditelj obrade: </w:t>
      </w:r>
      <w:r w:rsidRPr="00183364">
        <w:rPr>
          <w:rFonts w:ascii="Candara" w:hAnsi="Candara"/>
          <w:color w:val="1A1A1A"/>
        </w:rPr>
        <w:t>Cooperante d.o.o.</w:t>
      </w:r>
    </w:p>
    <w:p w14:paraId="547B5E97" w14:textId="3651D9E3" w:rsidR="00F57D4A" w:rsidRPr="00183364" w:rsidRDefault="00000000" w:rsidP="00183364">
      <w:pPr>
        <w:spacing w:before="6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Izvršitelji obrade: </w:t>
      </w:r>
      <w:r w:rsidRPr="00183364">
        <w:rPr>
          <w:rFonts w:ascii="Candara" w:hAnsi="Candara"/>
          <w:color w:val="1A1A1A"/>
        </w:rPr>
        <w:t>Pružatelj ATS platforme (identificirati), Microsoft M365 (pohrana)</w:t>
      </w:r>
    </w:p>
    <w:p w14:paraId="1BE8A69E" w14:textId="77777777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t>3. Tokovi podataka</w:t>
      </w:r>
    </w:p>
    <w:p w14:paraId="474CB41E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Kandidat se prijavljuje (oglas, WhatsApp, preporuka, partnerska agencija)</w:t>
      </w:r>
    </w:p>
    <w:p w14:paraId="64A6CFFE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Recruiter unosi profil kandidata u ATS</w:t>
      </w:r>
    </w:p>
    <w:p w14:paraId="6E862F18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ATS pohranjuje: CV, kontaktne podatke, fotografiju, dokumente za dozvole</w:t>
      </w:r>
    </w:p>
    <w:p w14:paraId="2CC9942C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Recruiter pretražuje i filtrira kandidate prema zahtjevima klijenta</w:t>
      </w:r>
    </w:p>
    <w:p w14:paraId="4C461767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Odabrani profil proslijeđuje se klijentu (poslodavcu) na uvid</w:t>
      </w:r>
    </w:p>
    <w:p w14:paraId="37FCA5D5" w14:textId="77777777" w:rsidR="00F57D4A" w:rsidRPr="00183364" w:rsidRDefault="00000000" w:rsidP="00183364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Po zaposlenju: profil ostaje u ATS-u; po odbijanju: brisanje nakon 24 mj.</w:t>
      </w:r>
    </w:p>
    <w:p w14:paraId="7272A6EE" w14:textId="77777777" w:rsidR="00F57D4A" w:rsidRPr="00183364" w:rsidRDefault="00F57D4A" w:rsidP="00183364">
      <w:pPr>
        <w:spacing w:after="100"/>
        <w:jc w:val="both"/>
        <w:rPr>
          <w:rFonts w:ascii="Candara" w:hAnsi="Candara"/>
        </w:rPr>
      </w:pPr>
    </w:p>
    <w:p w14:paraId="337AEE66" w14:textId="77777777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lastRenderedPageBreak/>
        <w:t>4. Nužnost i proporcionalnost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1462"/>
        <w:gridCol w:w="5309"/>
      </w:tblGrid>
      <w:tr w:rsidR="00F57D4A" w:rsidRPr="00183364" w14:paraId="6FF275EF" w14:textId="77777777" w:rsidTr="001833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18952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Kriterij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1EA15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Ocjena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1FFB25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Obrazloženje</w:t>
            </w:r>
          </w:p>
        </w:tc>
      </w:tr>
      <w:tr w:rsidR="00F57D4A" w:rsidRPr="00183364" w14:paraId="7DDA06EC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A33435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Zakonita svrha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169BC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DA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625EC1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Posredovanje pri zapošljavanju – temeljna djelatnost</w:t>
            </w:r>
          </w:p>
        </w:tc>
      </w:tr>
      <w:tr w:rsidR="00F57D4A" w:rsidRPr="00183364" w14:paraId="37DBF9BD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4892C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Minimizacija podataka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32DC1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DJELOMIČNO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32405D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Fotografija i kopije dokumenata prikupljaju se i prije potvrde angažmana – razmotriti fazno prikupljanje</w:t>
            </w:r>
          </w:p>
        </w:tc>
      </w:tr>
      <w:tr w:rsidR="00F57D4A" w:rsidRPr="00183364" w14:paraId="49A53018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08AC3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Ograničenje svrhe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C38AAE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DA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AC00BE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Podaci se ne koriste za druge svrhe bez privole</w:t>
            </w:r>
          </w:p>
        </w:tc>
      </w:tr>
      <w:tr w:rsidR="00F57D4A" w:rsidRPr="00183364" w14:paraId="433D84E9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32F5F6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Ograničenje pohrane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12D81F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DJELOMIČNO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FA23D6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Automatsko brisanje treba implementirati; trenutno ručno</w:t>
            </w:r>
          </w:p>
        </w:tc>
      </w:tr>
      <w:tr w:rsidR="00F57D4A" w:rsidRPr="00183364" w14:paraId="2662D739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244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20B30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Prijenosi u treće zemlje</w:t>
            </w:r>
          </w:p>
        </w:tc>
        <w:tc>
          <w:tcPr>
            <w:tcW w:w="146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806829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RIZIK</w:t>
            </w:r>
          </w:p>
        </w:tc>
        <w:tc>
          <w:tcPr>
            <w:tcW w:w="530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28C03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Partnerske agencije u trećim zemljama mogu imati pristup – potrebni SCC ugovori</w:t>
            </w:r>
          </w:p>
        </w:tc>
      </w:tr>
    </w:tbl>
    <w:p w14:paraId="38E765FF" w14:textId="77777777" w:rsidR="00F57D4A" w:rsidRPr="00183364" w:rsidRDefault="00F57D4A" w:rsidP="00183364">
      <w:pPr>
        <w:spacing w:after="100"/>
        <w:jc w:val="both"/>
        <w:rPr>
          <w:rFonts w:ascii="Candara" w:hAnsi="Candara"/>
        </w:rPr>
      </w:pPr>
    </w:p>
    <w:p w14:paraId="2040BBA2" w14:textId="77777777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t>5. Identifikacija i procjena rizika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650"/>
        <w:gridCol w:w="1200"/>
        <w:gridCol w:w="3000"/>
        <w:gridCol w:w="1513"/>
      </w:tblGrid>
      <w:tr w:rsidR="00F57D4A" w:rsidRPr="00183364" w14:paraId="2EB4D151" w14:textId="77777777" w:rsidTr="001833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6B011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15443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Rizik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E5E33E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Razina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4B9A63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Mjera ublažavanja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6EB22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Rok</w:t>
            </w:r>
          </w:p>
        </w:tc>
      </w:tr>
      <w:tr w:rsidR="00F57D4A" w:rsidRPr="00183364" w14:paraId="0C4B469F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CED9C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R-001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85A0D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Neovlašteni pristup ATS sustavu (slabe lozinke, bez MFA)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77B053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B40251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Implementirati MFA na ATS i M365 za sve korisnike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C9D70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Odmah</w:t>
            </w:r>
          </w:p>
        </w:tc>
      </w:tr>
      <w:tr w:rsidR="00F57D4A" w:rsidRPr="00183364" w14:paraId="5F155988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E0E6C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R-002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022FCA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Proslijeđivanje profila klijentima bez DPA ugovora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F04DDF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E836A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Potpisati DPA ugovor sa svim klijentima kojima se proslijeđuju profili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85B24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30 dana</w:t>
            </w:r>
          </w:p>
        </w:tc>
      </w:tr>
      <w:tr w:rsidR="00F57D4A" w:rsidRPr="00183364" w14:paraId="50A3B0EA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18AD7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R-003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C3A01F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Dugotrajna pohrana bez zakonske osnove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E2A2B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SREDNJI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8873E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Implementirati automatsko brisanje neaktivnih profila nakon 24 mj.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D3850A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60 dana</w:t>
            </w:r>
          </w:p>
        </w:tc>
      </w:tr>
      <w:tr w:rsidR="00F57D4A" w:rsidRPr="00183364" w14:paraId="5C268B58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C6EA8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R-004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1F4D7A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Prijenos podataka u treće zemlje bez SCC ugovora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EC096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318437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Sklopiti SCC s partnerskim agencijama izvan EU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AA1CFB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30 dana</w:t>
            </w:r>
          </w:p>
        </w:tc>
      </w:tr>
      <w:tr w:rsidR="00F57D4A" w:rsidRPr="00183364" w14:paraId="1C8EA307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BC97B8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R-005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154522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Curenje podataka putem WhatsApp/email komunikacije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0A1AA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SREDNJI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ACF7FF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CV-ove slati isključivo putem zaštićenih kanala (SharePoint)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B2B321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14 dana</w:t>
            </w:r>
          </w:p>
        </w:tc>
      </w:tr>
      <w:tr w:rsidR="00F57D4A" w:rsidRPr="00183364" w14:paraId="2E6142B0" w14:textId="77777777" w:rsidTr="00183364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10F334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R-006</w:t>
            </w:r>
          </w:p>
        </w:tc>
        <w:tc>
          <w:tcPr>
            <w:tcW w:w="265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4ECA16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Pristup vanjskih IT suradnika bez DPA ugovora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AB90AB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SREDNJI</w:t>
            </w:r>
          </w:p>
        </w:tc>
        <w:tc>
          <w:tcPr>
            <w:tcW w:w="3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D9F8CA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Potpisati DPA s vanjskim IT administratorom M365</w:t>
            </w:r>
          </w:p>
        </w:tc>
        <w:tc>
          <w:tcPr>
            <w:tcW w:w="1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2A4336" w14:textId="77777777" w:rsidR="00F57D4A" w:rsidRPr="00183364" w:rsidRDefault="00000000" w:rsidP="00183364">
            <w:pPr>
              <w:spacing w:before="80" w:after="80"/>
              <w:jc w:val="both"/>
              <w:rPr>
                <w:rFonts w:ascii="Candara" w:hAnsi="Candara"/>
              </w:rPr>
            </w:pPr>
            <w:r w:rsidRPr="00183364">
              <w:rPr>
                <w:rFonts w:ascii="Candara" w:hAnsi="Candara"/>
                <w:color w:val="1A1A1A"/>
                <w:sz w:val="20"/>
                <w:szCs w:val="20"/>
              </w:rPr>
              <w:t>14 dana</w:t>
            </w:r>
          </w:p>
        </w:tc>
      </w:tr>
    </w:tbl>
    <w:p w14:paraId="64482C22" w14:textId="77777777" w:rsidR="00F57D4A" w:rsidRPr="00183364" w:rsidRDefault="00F57D4A" w:rsidP="00183364">
      <w:pPr>
        <w:spacing w:after="100"/>
        <w:jc w:val="both"/>
        <w:rPr>
          <w:rFonts w:ascii="Candara" w:hAnsi="Candara"/>
        </w:rPr>
      </w:pPr>
    </w:p>
    <w:p w14:paraId="057B46A2" w14:textId="77777777" w:rsidR="00183364" w:rsidRDefault="00183364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</w:p>
    <w:p w14:paraId="3FD1F828" w14:textId="4541B9A2" w:rsidR="00F57D4A" w:rsidRPr="00183364" w:rsidRDefault="00000000" w:rsidP="00183364">
      <w:pPr>
        <w:pStyle w:val="Heading1"/>
        <w:spacing w:before="360" w:after="120"/>
        <w:rPr>
          <w:rFonts w:ascii="Candara" w:hAnsi="Candara"/>
          <w:smallCaps/>
          <w:sz w:val="28"/>
          <w:szCs w:val="28"/>
        </w:rPr>
      </w:pPr>
      <w:r w:rsidRPr="00183364">
        <w:rPr>
          <w:rFonts w:ascii="Candara" w:hAnsi="Candara"/>
          <w:smallCaps/>
          <w:sz w:val="28"/>
          <w:szCs w:val="28"/>
        </w:rPr>
        <w:lastRenderedPageBreak/>
        <w:t>6. Zaključak</w:t>
      </w:r>
    </w:p>
    <w:p w14:paraId="7529EE45" w14:textId="77777777" w:rsidR="00F57D4A" w:rsidRPr="00183364" w:rsidRDefault="00000000" w:rsidP="00183364">
      <w:pPr>
        <w:spacing w:before="80" w:after="80"/>
        <w:jc w:val="both"/>
        <w:rPr>
          <w:rFonts w:ascii="Candara" w:hAnsi="Candara"/>
        </w:rPr>
      </w:pPr>
      <w:r w:rsidRPr="00183364">
        <w:rPr>
          <w:rFonts w:ascii="Candara" w:hAnsi="Candara"/>
          <w:color w:val="1A1A1A"/>
        </w:rPr>
        <w:t>Obrada osobnih podataka u ATS sustavu je nužna i proporcionalna za obavljanje djelatnosti Cooperante d.o.o. Uz implementaciju identificiranih mjera ublažavanja (posebno R-001, R-002 i R-004), obrada se može zakonito nastaviti. Bez implementacije tih mjera postoji značajan rizik povrede GDPR-a.</w:t>
      </w:r>
    </w:p>
    <w:p w14:paraId="47D858E3" w14:textId="77777777" w:rsidR="00183364" w:rsidRDefault="00183364" w:rsidP="00183364">
      <w:pPr>
        <w:spacing w:before="100" w:after="60"/>
        <w:jc w:val="both"/>
        <w:rPr>
          <w:rFonts w:ascii="Candara" w:hAnsi="Candara"/>
        </w:rPr>
      </w:pPr>
    </w:p>
    <w:p w14:paraId="6C65D586" w14:textId="5C691F08" w:rsidR="00F57D4A" w:rsidRPr="00183364" w:rsidRDefault="00000000" w:rsidP="00183364">
      <w:pPr>
        <w:spacing w:before="10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DPC (Rea Pelicarić): </w:t>
      </w:r>
      <w:r w:rsidRPr="00183364">
        <w:rPr>
          <w:rFonts w:ascii="Candara" w:hAnsi="Candara"/>
          <w:color w:val="1A1A1A"/>
        </w:rPr>
        <w:t>Rea Pelicarić   Datum: __________   Potpis: _____________________</w:t>
      </w:r>
    </w:p>
    <w:p w14:paraId="19BD5FC8" w14:textId="77777777" w:rsidR="00F57D4A" w:rsidRPr="00183364" w:rsidRDefault="00000000" w:rsidP="00183364">
      <w:pPr>
        <w:spacing w:before="100" w:after="60"/>
        <w:jc w:val="both"/>
        <w:rPr>
          <w:rFonts w:ascii="Candara" w:hAnsi="Candara"/>
        </w:rPr>
      </w:pPr>
      <w:r w:rsidRPr="00183364">
        <w:rPr>
          <w:rFonts w:ascii="Candara" w:hAnsi="Candara"/>
          <w:b/>
          <w:bCs/>
          <w:color w:val="0A0A0A"/>
        </w:rPr>
        <w:t xml:space="preserve">Direktorica: </w:t>
      </w:r>
      <w:r w:rsidRPr="00183364">
        <w:rPr>
          <w:rFonts w:ascii="Candara" w:hAnsi="Candara"/>
          <w:color w:val="1A1A1A"/>
        </w:rPr>
        <w:t>Sonja Mitrović   Datum: __________   Potpis: _____________________</w:t>
      </w:r>
    </w:p>
    <w:sectPr w:rsidR="00F57D4A" w:rsidRPr="00183364" w:rsidSect="00183364">
      <w:headerReference w:type="default" r:id="rId7"/>
      <w:pgSz w:w="11906" w:h="16838"/>
      <w:pgMar w:top="1985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2ABE" w14:textId="77777777" w:rsidR="00AB03DF" w:rsidRDefault="00AB03DF" w:rsidP="00183364">
      <w:r>
        <w:separator/>
      </w:r>
    </w:p>
  </w:endnote>
  <w:endnote w:type="continuationSeparator" w:id="0">
    <w:p w14:paraId="21A573D0" w14:textId="77777777" w:rsidR="00AB03DF" w:rsidRDefault="00AB03DF" w:rsidP="0018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8299" w14:textId="77777777" w:rsidR="00AB03DF" w:rsidRDefault="00AB03DF" w:rsidP="00183364">
      <w:r>
        <w:separator/>
      </w:r>
    </w:p>
  </w:footnote>
  <w:footnote w:type="continuationSeparator" w:id="0">
    <w:p w14:paraId="4F2F0199" w14:textId="77777777" w:rsidR="00AB03DF" w:rsidRDefault="00AB03DF" w:rsidP="0018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2B56" w14:textId="77777777" w:rsidR="00183364" w:rsidRPr="00CB1FB4" w:rsidRDefault="00183364" w:rsidP="00183364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683DF356" wp14:editId="2BAD0FEC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4515E" w14:textId="2BBF92F4" w:rsidR="00183364" w:rsidRPr="00183364" w:rsidRDefault="00183364" w:rsidP="00183364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E4B9B"/>
    <w:multiLevelType w:val="hybridMultilevel"/>
    <w:tmpl w:val="68ACEC54"/>
    <w:lvl w:ilvl="0" w:tplc="F9780B44">
      <w:start w:val="1"/>
      <w:numFmt w:val="decimal"/>
      <w:lvlText w:val="%1."/>
      <w:lvlJc w:val="left"/>
      <w:pPr>
        <w:ind w:left="720" w:hanging="360"/>
      </w:pPr>
    </w:lvl>
    <w:lvl w:ilvl="1" w:tplc="A6E2CE7A">
      <w:numFmt w:val="decimal"/>
      <w:lvlText w:val=""/>
      <w:lvlJc w:val="left"/>
    </w:lvl>
    <w:lvl w:ilvl="2" w:tplc="AB94DF8A">
      <w:numFmt w:val="decimal"/>
      <w:lvlText w:val=""/>
      <w:lvlJc w:val="left"/>
    </w:lvl>
    <w:lvl w:ilvl="3" w:tplc="6002B0A8">
      <w:numFmt w:val="decimal"/>
      <w:lvlText w:val=""/>
      <w:lvlJc w:val="left"/>
    </w:lvl>
    <w:lvl w:ilvl="4" w:tplc="88E4F236">
      <w:numFmt w:val="decimal"/>
      <w:lvlText w:val=""/>
      <w:lvlJc w:val="left"/>
    </w:lvl>
    <w:lvl w:ilvl="5" w:tplc="967CC1B8">
      <w:numFmt w:val="decimal"/>
      <w:lvlText w:val=""/>
      <w:lvlJc w:val="left"/>
    </w:lvl>
    <w:lvl w:ilvl="6" w:tplc="555C1F7E">
      <w:numFmt w:val="decimal"/>
      <w:lvlText w:val=""/>
      <w:lvlJc w:val="left"/>
    </w:lvl>
    <w:lvl w:ilvl="7" w:tplc="79B815EA">
      <w:numFmt w:val="decimal"/>
      <w:lvlText w:val=""/>
      <w:lvlJc w:val="left"/>
    </w:lvl>
    <w:lvl w:ilvl="8" w:tplc="23E6B604">
      <w:numFmt w:val="decimal"/>
      <w:lvlText w:val=""/>
      <w:lvlJc w:val="left"/>
    </w:lvl>
  </w:abstractNum>
  <w:abstractNum w:abstractNumId="1" w15:restartNumberingAfterBreak="0">
    <w:nsid w:val="37B42545"/>
    <w:multiLevelType w:val="hybridMultilevel"/>
    <w:tmpl w:val="F8D21230"/>
    <w:lvl w:ilvl="0" w:tplc="1EA6520E">
      <w:start w:val="1"/>
      <w:numFmt w:val="bullet"/>
      <w:lvlText w:val="•"/>
      <w:lvlJc w:val="left"/>
      <w:pPr>
        <w:ind w:left="720" w:hanging="360"/>
      </w:pPr>
    </w:lvl>
    <w:lvl w:ilvl="1" w:tplc="68E8F102">
      <w:start w:val="1"/>
      <w:numFmt w:val="bullet"/>
      <w:lvlText w:val="–"/>
      <w:lvlJc w:val="left"/>
      <w:pPr>
        <w:ind w:left="1080" w:hanging="360"/>
      </w:pPr>
    </w:lvl>
    <w:lvl w:ilvl="2" w:tplc="837EF398">
      <w:numFmt w:val="decimal"/>
      <w:lvlText w:val=""/>
      <w:lvlJc w:val="left"/>
    </w:lvl>
    <w:lvl w:ilvl="3" w:tplc="B40E25D6">
      <w:numFmt w:val="decimal"/>
      <w:lvlText w:val=""/>
      <w:lvlJc w:val="left"/>
    </w:lvl>
    <w:lvl w:ilvl="4" w:tplc="F05C9998">
      <w:numFmt w:val="decimal"/>
      <w:lvlText w:val=""/>
      <w:lvlJc w:val="left"/>
    </w:lvl>
    <w:lvl w:ilvl="5" w:tplc="D996CC48">
      <w:numFmt w:val="decimal"/>
      <w:lvlText w:val=""/>
      <w:lvlJc w:val="left"/>
    </w:lvl>
    <w:lvl w:ilvl="6" w:tplc="A20043C6">
      <w:numFmt w:val="decimal"/>
      <w:lvlText w:val=""/>
      <w:lvlJc w:val="left"/>
    </w:lvl>
    <w:lvl w:ilvl="7" w:tplc="903860DA">
      <w:numFmt w:val="decimal"/>
      <w:lvlText w:val=""/>
      <w:lvlJc w:val="left"/>
    </w:lvl>
    <w:lvl w:ilvl="8" w:tplc="EEAAAE94">
      <w:numFmt w:val="decimal"/>
      <w:lvlText w:val=""/>
      <w:lvlJc w:val="left"/>
    </w:lvl>
  </w:abstractNum>
  <w:abstractNum w:abstractNumId="2" w15:restartNumberingAfterBreak="0">
    <w:nsid w:val="4F8F6EEA"/>
    <w:multiLevelType w:val="hybridMultilevel"/>
    <w:tmpl w:val="D21E7590"/>
    <w:lvl w:ilvl="0" w:tplc="7BBA2A04">
      <w:start w:val="1"/>
      <w:numFmt w:val="bullet"/>
      <w:lvlText w:val="●"/>
      <w:lvlJc w:val="left"/>
      <w:pPr>
        <w:ind w:left="720" w:hanging="360"/>
      </w:pPr>
    </w:lvl>
    <w:lvl w:ilvl="1" w:tplc="56D46E4C">
      <w:start w:val="1"/>
      <w:numFmt w:val="bullet"/>
      <w:lvlText w:val="○"/>
      <w:lvlJc w:val="left"/>
      <w:pPr>
        <w:ind w:left="1440" w:hanging="360"/>
      </w:pPr>
    </w:lvl>
    <w:lvl w:ilvl="2" w:tplc="D410FDE4">
      <w:start w:val="1"/>
      <w:numFmt w:val="bullet"/>
      <w:lvlText w:val="■"/>
      <w:lvlJc w:val="left"/>
      <w:pPr>
        <w:ind w:left="2160" w:hanging="360"/>
      </w:pPr>
    </w:lvl>
    <w:lvl w:ilvl="3" w:tplc="B49E918A">
      <w:start w:val="1"/>
      <w:numFmt w:val="bullet"/>
      <w:lvlText w:val="●"/>
      <w:lvlJc w:val="left"/>
      <w:pPr>
        <w:ind w:left="2880" w:hanging="360"/>
      </w:pPr>
    </w:lvl>
    <w:lvl w:ilvl="4" w:tplc="E7EE5DB2">
      <w:start w:val="1"/>
      <w:numFmt w:val="bullet"/>
      <w:lvlText w:val="○"/>
      <w:lvlJc w:val="left"/>
      <w:pPr>
        <w:ind w:left="3600" w:hanging="360"/>
      </w:pPr>
    </w:lvl>
    <w:lvl w:ilvl="5" w:tplc="FEA6BCC6">
      <w:start w:val="1"/>
      <w:numFmt w:val="bullet"/>
      <w:lvlText w:val="■"/>
      <w:lvlJc w:val="left"/>
      <w:pPr>
        <w:ind w:left="4320" w:hanging="360"/>
      </w:pPr>
    </w:lvl>
    <w:lvl w:ilvl="6" w:tplc="833C1164">
      <w:start w:val="1"/>
      <w:numFmt w:val="bullet"/>
      <w:lvlText w:val="●"/>
      <w:lvlJc w:val="left"/>
      <w:pPr>
        <w:ind w:left="5040" w:hanging="360"/>
      </w:pPr>
    </w:lvl>
    <w:lvl w:ilvl="7" w:tplc="9E80FD7A">
      <w:start w:val="1"/>
      <w:numFmt w:val="bullet"/>
      <w:lvlText w:val="●"/>
      <w:lvlJc w:val="left"/>
      <w:pPr>
        <w:ind w:left="5760" w:hanging="360"/>
      </w:pPr>
    </w:lvl>
    <w:lvl w:ilvl="8" w:tplc="EE4A4AF4">
      <w:start w:val="1"/>
      <w:numFmt w:val="bullet"/>
      <w:lvlText w:val="●"/>
      <w:lvlJc w:val="left"/>
      <w:pPr>
        <w:ind w:left="6480" w:hanging="360"/>
      </w:pPr>
    </w:lvl>
  </w:abstractNum>
  <w:num w:numId="1" w16cid:durableId="1887570944">
    <w:abstractNumId w:val="2"/>
    <w:lvlOverride w:ilvl="0">
      <w:startOverride w:val="1"/>
    </w:lvlOverride>
  </w:num>
  <w:num w:numId="2" w16cid:durableId="18472050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4A"/>
    <w:rsid w:val="00183364"/>
    <w:rsid w:val="00AB03DF"/>
    <w:rsid w:val="00DE46C6"/>
    <w:rsid w:val="00F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74C5B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364"/>
  </w:style>
  <w:style w:type="paragraph" w:styleId="Footer">
    <w:name w:val="footer"/>
    <w:basedOn w:val="Normal"/>
    <w:link w:val="FooterChar"/>
    <w:uiPriority w:val="99"/>
    <w:unhideWhenUsed/>
    <w:rsid w:val="00183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3006</Characters>
  <Application>Microsoft Office Word</Application>
  <DocSecurity>0</DocSecurity>
  <Lines>25</Lines>
  <Paragraphs>7</Paragraphs>
  <ScaleCrop>false</ScaleCrop>
  <Company>AP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2026-03-15T19:11:00Z</dcterms:created>
  <dcterms:modified xsi:type="dcterms:W3CDTF">2026-03-15T19:28:00Z</dcterms:modified>
</cp:coreProperties>
</file>